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D7" w:rsidRDefault="005B547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BOSNA I HERCEGOVINA                             PARLAMENT FEDERACIJE</w:t>
      </w:r>
    </w:p>
    <w:p w:rsidR="00EC03D7" w:rsidRDefault="005B547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FEDERACIJA BOSNE I HERCEGOVINE     PREDSTAVNIČKI-ZASTUPNIČKI DOM            </w:t>
      </w:r>
    </w:p>
    <w:p w:rsidR="00EC03D7" w:rsidRDefault="005B5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Ustavno povjerenstvo</w:t>
      </w: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Broj: 01/1-02-510/11</w:t>
      </w: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Sarajevo, 30.05.2011.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ZASTUPNIČKOM DOMU</w:t>
      </w:r>
    </w:p>
    <w:p w:rsidR="00EC03D7" w:rsidRDefault="005B547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PARLAMENTA FEDERACIJE BIH</w:t>
      </w: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Ustavno povjerenstvo Zastupničkoga doma Parlamenta Federacije BiH na </w:t>
      </w:r>
      <w:r>
        <w:rPr>
          <w:rFonts w:ascii="Times New Roman" w:eastAsia="Times New Roman" w:hAnsi="Times New Roman" w:cs="Times New Roman"/>
          <w:b/>
          <w:sz w:val="24"/>
        </w:rPr>
        <w:t xml:space="preserve">2. sjednici, održanoj 30.05.2011. godine, </w:t>
      </w:r>
      <w:r>
        <w:rPr>
          <w:rFonts w:ascii="Times New Roman" w:eastAsia="Times New Roman" w:hAnsi="Times New Roman" w:cs="Times New Roman"/>
          <w:sz w:val="24"/>
        </w:rPr>
        <w:t>razmatralo je sljedeće točke dnevnoga reda:</w:t>
      </w:r>
    </w:p>
    <w:p w:rsidR="00EC03D7" w:rsidRDefault="00EC03D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C03D7" w:rsidRDefault="005B5472" w:rsidP="00CC287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Prijedlog programa rada Ustavnoga povjerenstva za 2011. godinu</w:t>
      </w:r>
    </w:p>
    <w:p w:rsidR="00EC03D7" w:rsidRDefault="005B5472" w:rsidP="00CC287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Distribu</w:t>
      </w:r>
      <w:r>
        <w:rPr>
          <w:rFonts w:ascii="Times New Roman" w:eastAsia="Times New Roman" w:hAnsi="Times New Roman" w:cs="Times New Roman"/>
          <w:sz w:val="24"/>
        </w:rPr>
        <w:t>cija ključnih funkcija u strukturi vlasti u Federaciji BiH</w:t>
      </w:r>
    </w:p>
    <w:p w:rsidR="00EC03D7" w:rsidRDefault="005B5472" w:rsidP="00CC287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Provedba Presude Europskoga suda za ljudska prava u predmetu "Sejdić i Finci" protiv Bosne i Hercegovine</w:t>
      </w:r>
    </w:p>
    <w:p w:rsidR="00EC03D7" w:rsidRDefault="005B5472" w:rsidP="00CC287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Provedba odluka ustavnih sudova Bosne i Hercegovine i Federacije Bosne i Hercegovine</w:t>
      </w:r>
    </w:p>
    <w:p w:rsidR="00EC03D7" w:rsidRDefault="005B5472" w:rsidP="00CC2879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Ostala </w:t>
      </w:r>
      <w:r>
        <w:rPr>
          <w:rFonts w:ascii="Times New Roman" w:eastAsia="Times New Roman" w:hAnsi="Times New Roman" w:cs="Times New Roman"/>
          <w:sz w:val="24"/>
        </w:rPr>
        <w:t>pitanja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Sukladno čl. 44., 57. i 154. Poslovnika Zastupničkoga doma Parlamenta Federacije BiH, Ustavno povjerenstvo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Domu podnosi sljedeće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 Z V J E Š Ć E</w:t>
      </w: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CC2879">
        <w:rPr>
          <w:rFonts w:ascii="Times New Roman" w:eastAsia="Times New Roman" w:hAnsi="Times New Roman" w:cs="Times New Roman"/>
          <w:b/>
          <w:sz w:val="24"/>
        </w:rPr>
        <w:t>Prijedlog Programa rada Ustavnoga povjerenstva za 2011. godinu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usvojilo</w:t>
      </w:r>
      <w:r>
        <w:rPr>
          <w:rFonts w:ascii="Times New Roman" w:eastAsia="Times New Roman" w:hAnsi="Times New Roman" w:cs="Times New Roman"/>
          <w:sz w:val="24"/>
        </w:rPr>
        <w:t xml:space="preserve"> je Program svoga rada za 2011. godinu koji je u privitku ZAPISNIKA sjednice, u okviru koga su posebice apostrofirane sljedeće značajke:</w:t>
      </w:r>
    </w:p>
    <w:p w:rsidR="00EC03D7" w:rsidRDefault="00EC03D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Obveza praćenja ustavnih aktivnosti i sudjelovanje u radu za promjene Ustava BiH i Federacije BiH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 xml:space="preserve">Praćenje ustavnosti i zakonitosti u Federaciji BiH kroz ostvarivanje Ustava Federacije BiH, sukladno obvezama i ovlastima  utvrđenim u članku 57. Poslovnika Zastupničkoga doma 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Sa</w:t>
      </w:r>
      <w:r w:rsidRPr="00CC2879">
        <w:rPr>
          <w:rFonts w:ascii="Times New Roman" w:eastAsia="Times New Roman" w:hAnsi="Times New Roman" w:cs="Times New Roman"/>
          <w:sz w:val="24"/>
        </w:rPr>
        <w:t>činjavanje prijedloga pročišćenog teksta Ustava Federacije BiH – ugrađeni amandmani koji su do sada prihvaćeni – neslužbena verzija</w:t>
      </w:r>
    </w:p>
    <w:p w:rsidR="00EC03D7" w:rsidRDefault="005B5472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rujan  2011.</w:t>
      </w:r>
    </w:p>
    <w:p w:rsidR="00EC03D7" w:rsidRDefault="00EC03D7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lastRenderedPageBreak/>
        <w:t>Razmatranje amandmana na Ustav Federacije BiH koji se nalaze u parlamentarnoj proceduri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</w:t>
      </w:r>
      <w:r>
        <w:rPr>
          <w:rFonts w:ascii="Times New Roman" w:eastAsia="Times New Roman" w:hAnsi="Times New Roman" w:cs="Times New Roman"/>
          <w:sz w:val="24"/>
        </w:rPr>
        <w:t>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Provedba Presude Europskog suda za ljudska prava u predmetu “SEJDIĆ-FINCI”, kao i drugih presuda istoga suda i drugih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Razmatranje prispjelih INICIJATIVA upućenih Povjerenstvu u funkciji eliminiranja neustavnih ponašanja institucija n</w:t>
      </w:r>
      <w:r w:rsidRPr="00CC2879">
        <w:rPr>
          <w:rFonts w:ascii="Times New Roman" w:eastAsia="Times New Roman" w:hAnsi="Times New Roman" w:cs="Times New Roman"/>
          <w:sz w:val="24"/>
        </w:rPr>
        <w:t>a razini Federacije BiH, te zauzimanje stavova i upućivanje istih Zastupničkom domu na odlučivanje</w:t>
      </w:r>
    </w:p>
    <w:p w:rsidR="00EC03D7" w:rsidRDefault="005B5472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 xml:space="preserve">Praćenje provođenja ustavne jednakopravnosti – jednakosti građana Federacije sukladno Ustavu i europskim konvencijama o zaštiti ljudskih </w:t>
      </w:r>
      <w:r w:rsidRPr="00CC2879">
        <w:rPr>
          <w:rFonts w:ascii="Times New Roman" w:eastAsia="Times New Roman" w:hAnsi="Times New Roman" w:cs="Times New Roman"/>
          <w:sz w:val="24"/>
        </w:rPr>
        <w:t>prava i temeljnih građanskih sloboda, te sukladno tomu pokretanje inicijativa kod Zastupničkoga doma za donošenje potrebnih akata u službi provedbe ustavnih odredbi koje normiraju ustavnost, zakonitost i jednakopravnost građana pred Ustavom i zakonom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 xml:space="preserve">Analiza ostvarivanja ustavne jednakosti i ostvarivanja amandmana na Ustav o konstitutivnosti naroda u Federaciji BiH 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Praćenje provedbi ODLUKA ustavnih sudova Bosne i Hercegovine i Federacije Bosne i Hercegovine, don</w:t>
      </w:r>
      <w:r w:rsidRPr="00CC2879">
        <w:rPr>
          <w:rFonts w:ascii="Times New Roman" w:eastAsia="Times New Roman" w:hAnsi="Times New Roman" w:cs="Times New Roman"/>
          <w:sz w:val="24"/>
        </w:rPr>
        <w:t>esenih u razdoblju od 1996. do 2011. godine, za koje provedbe je obvezan Parlament Federacije BiH, te iniciranje odgovornog ponašanja prema provedbama odluka ustavnih sudova.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Analiza aktivnosti Venecijanskog povjerenstva u Bosni i Herce</w:t>
      </w:r>
      <w:r w:rsidRPr="00CC2879">
        <w:rPr>
          <w:rFonts w:ascii="Times New Roman" w:eastAsia="Times New Roman" w:hAnsi="Times New Roman" w:cs="Times New Roman"/>
          <w:sz w:val="24"/>
        </w:rPr>
        <w:t>govini u pogledu praćenja provođenja ustavnosti u BiH, posebice u institucijama Bosne i Hercegovine i Federacije BiH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Sagledavanje provedbe Ustava Bosne i Hercegovine, posebice onih odredaba koje jamče suverenost države Bosne i Hercegovi</w:t>
      </w:r>
      <w:r w:rsidRPr="00CC2879">
        <w:rPr>
          <w:rFonts w:ascii="Times New Roman" w:eastAsia="Times New Roman" w:hAnsi="Times New Roman" w:cs="Times New Roman"/>
          <w:sz w:val="24"/>
        </w:rPr>
        <w:t>ne i njezin državno-pravni kontinuitet, a koje se odredbe u praksi, posebice na prostoru entiteta Republika Srpska, zaobilaze ili minimiziraju</w:t>
      </w:r>
    </w:p>
    <w:p w:rsidR="00EC03D7" w:rsidRDefault="005B547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Ostale zadaće Ustavnoga povjerenstva, sukladno Poslovniku Zastupničkoga doma i zaključcima Za</w:t>
      </w:r>
      <w:r w:rsidRPr="00CC2879">
        <w:rPr>
          <w:rFonts w:ascii="Times New Roman" w:eastAsia="Times New Roman" w:hAnsi="Times New Roman" w:cs="Times New Roman"/>
          <w:sz w:val="24"/>
        </w:rPr>
        <w:t>stupničkoga doma Parlamenta Federacije Bosne i Hercegovine</w:t>
      </w:r>
    </w:p>
    <w:p w:rsidR="00EC03D7" w:rsidRDefault="005B5472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Rok: stalna zadaća</w:t>
      </w:r>
    </w:p>
    <w:p w:rsidR="00EC03D7" w:rsidRDefault="00EC03D7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1"/>
        </w:num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CC2879">
        <w:rPr>
          <w:rFonts w:ascii="Times New Roman" w:eastAsia="Times New Roman" w:hAnsi="Times New Roman" w:cs="Times New Roman"/>
          <w:b/>
          <w:sz w:val="24"/>
        </w:rPr>
        <w:t>Distribucija ključnih funkcija u strukturi vlasti u Federaciji BiH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povodu upita upu</w:t>
      </w:r>
      <w:r>
        <w:rPr>
          <w:rFonts w:ascii="Times New Roman" w:eastAsia="Times New Roman" w:hAnsi="Times New Roman" w:cs="Times New Roman"/>
          <w:sz w:val="24"/>
        </w:rPr>
        <w:t>ćenih Ustavnom povjerenstvu Zastupničkoga doma Parlamenta Federacije BiH od predstavnika međunarodnih institucija koje djeluju u Bosni i Hercegovini, u pogledu poštivanja ustavnih odredbi Ustava Federacije Bosne i Hercegovine o DISTRIBUCIJI KLJUČNIH FUNKCI</w:t>
      </w:r>
      <w:r>
        <w:rPr>
          <w:rFonts w:ascii="Times New Roman" w:eastAsia="Times New Roman" w:hAnsi="Times New Roman" w:cs="Times New Roman"/>
          <w:sz w:val="24"/>
        </w:rPr>
        <w:t>JA u Federaciji, Ustavno povjerenstvo je zaključilo, kako slijedi:</w:t>
      </w:r>
    </w:p>
    <w:p w:rsidR="00EC03D7" w:rsidRPr="00CC2879" w:rsidRDefault="005B5472" w:rsidP="00CC2879">
      <w:pPr>
        <w:pStyle w:val="ListParagraph"/>
        <w:numPr>
          <w:ilvl w:val="0"/>
          <w:numId w:val="1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 w:rsidRPr="00CC2879">
        <w:rPr>
          <w:rFonts w:ascii="Times New Roman" w:eastAsia="Times New Roman" w:hAnsi="Times New Roman" w:cs="Times New Roman"/>
          <w:sz w:val="24"/>
        </w:rPr>
        <w:t>Izbor i imenovanje dužnosnika na PRVE TRI funkcije koje normiraju odredbe Ustava Federacije Bosne i Hercegovine u poglavlju IV.D. članak 1.(2) i IV.D. članak 2. izvršeni su u potpunosti poš</w:t>
      </w:r>
      <w:r w:rsidRPr="00CC2879">
        <w:rPr>
          <w:rFonts w:ascii="Times New Roman" w:eastAsia="Times New Roman" w:hAnsi="Times New Roman" w:cs="Times New Roman"/>
          <w:sz w:val="24"/>
        </w:rPr>
        <w:t>tivanjem Ustava Federacije Bosne i Hercegovine, a to su funkcije: predsjedatelja Zastupničkoga doma, dopredsjedatelja Doma naroda Parlamenta Federacije Bosne i Hercegovine, te premijera Federacije Bosne i Hercegovine.</w:t>
      </w:r>
    </w:p>
    <w:p w:rsidR="00EC03D7" w:rsidRDefault="005B5472">
      <w:pPr>
        <w:numPr>
          <w:ilvl w:val="0"/>
          <w:numId w:val="1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predlaže Zastupni</w:t>
      </w:r>
      <w:r>
        <w:rPr>
          <w:rFonts w:ascii="Times New Roman" w:eastAsia="Times New Roman" w:hAnsi="Times New Roman" w:cs="Times New Roman"/>
          <w:sz w:val="24"/>
        </w:rPr>
        <w:t>čkom domu da se svojim zvaničnim pismom obrati VSTV-u – Visokom sudbenom i tužiteljskom vijeću BiH, u kojem mu, kao čelnoj pravosudnoj instituciji u Bosni i Hercegovini, preporučuje da pravosudnim institucijama u Federaciji BiH naloži poštivanje Ustava Fed</w:t>
      </w:r>
      <w:r>
        <w:rPr>
          <w:rFonts w:ascii="Times New Roman" w:eastAsia="Times New Roman" w:hAnsi="Times New Roman" w:cs="Times New Roman"/>
          <w:sz w:val="24"/>
        </w:rPr>
        <w:t xml:space="preserve">eracije Bosne i Hercegovine, a posebice odredbi u njegovom poglavlju IV. u okviru koga je jasno i nedvosmisleno normirana procedura za provedbu DISTRIBUCIJE KLJUČNIH FUNKCIJA u Federaciji Bosne i Hercegovine. </w:t>
      </w:r>
    </w:p>
    <w:p w:rsidR="00EC03D7" w:rsidRDefault="005B547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Zastupnički dom Parlamenta Federacije Bosne i </w:t>
      </w:r>
      <w:r>
        <w:rPr>
          <w:rFonts w:ascii="Times New Roman" w:eastAsia="Times New Roman" w:hAnsi="Times New Roman" w:cs="Times New Roman"/>
          <w:sz w:val="24"/>
        </w:rPr>
        <w:t>Hercegovine podsjeća Ustavni sud Federacije BiH, Vrhovni sud Federacije BiH i Federalno tužiteljstvo da su obvezni svoje akte – pravilnike o izboru i imenovanju, uskladiti  s odredbama Ustava Federacije Bosne i Hercegovine, u njegovom poglavlju IV. u okvir</w:t>
      </w:r>
      <w:r>
        <w:rPr>
          <w:rFonts w:ascii="Times New Roman" w:eastAsia="Times New Roman" w:hAnsi="Times New Roman" w:cs="Times New Roman"/>
          <w:sz w:val="24"/>
        </w:rPr>
        <w:t>u koga je normirana procedura i redoslijed izbora i imenovanja u okviru DISTRIBUCIJE KLJUČNIH FUNKCIJA u Federaciji Bosne i Hercegovine.</w:t>
      </w:r>
    </w:p>
    <w:p w:rsidR="00EC03D7" w:rsidRDefault="00EC03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1"/>
        </w:num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CC2879">
        <w:rPr>
          <w:rFonts w:ascii="Times New Roman" w:eastAsia="Times New Roman" w:hAnsi="Times New Roman" w:cs="Times New Roman"/>
          <w:b/>
          <w:sz w:val="24"/>
        </w:rPr>
        <w:t>Provedba Presude Europskog suda za ljudska prava u Predmetu „Sejdić-Finci“ protiv Bosne i Hercegovine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Razmatraju</w:t>
      </w:r>
      <w:r>
        <w:rPr>
          <w:rFonts w:ascii="Times New Roman" w:eastAsia="Times New Roman" w:hAnsi="Times New Roman" w:cs="Times New Roman"/>
          <w:sz w:val="24"/>
        </w:rPr>
        <w:t>ći problematiku neprovedbe Presude Velikog vijeća Europskog suda za ljudska prava u predmetu „SEJDIĆ-FINCI“, Ustavno povjerenstvo predlaže Zastupničkom domu da usvoji sljedeći</w:t>
      </w:r>
    </w:p>
    <w:p w:rsidR="00EC03D7" w:rsidRDefault="00EC0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 A K LJ U Č A K</w:t>
      </w:r>
    </w:p>
    <w:p w:rsidR="00EC03D7" w:rsidRDefault="00EC0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Pri provedbi presude Europskoga</w:t>
      </w:r>
      <w:r>
        <w:rPr>
          <w:rFonts w:ascii="Times New Roman" w:eastAsia="Times New Roman" w:hAnsi="Times New Roman" w:cs="Times New Roman"/>
          <w:sz w:val="24"/>
        </w:rPr>
        <w:t xml:space="preserve"> suda za ljudska prava u predmetu „SEJDIĆ-FINCI“ Parlament Federacije BiH inzistira da se uz provedbu ove presude, istodobno provede i Presuda istog Europskog suda u slučaju PILAV koji se svojom tužbom osvrnuo na diskriminaciju građana u BiH po mjestu bora</w:t>
      </w:r>
      <w:r>
        <w:rPr>
          <w:rFonts w:ascii="Times New Roman" w:eastAsia="Times New Roman" w:hAnsi="Times New Roman" w:cs="Times New Roman"/>
          <w:sz w:val="24"/>
        </w:rPr>
        <w:t>vka – prebivališta, budući da on kao tužitelj živi u Srebrenici, a kao Bošnjak se ne može kandidirati za člana Predsjedništva Bosne i Hercegovine, jer živi u drugom entitetu, koji se ovom diskriminacijom potvrđuje kao „srpski“ entitet.</w:t>
      </w:r>
    </w:p>
    <w:p w:rsidR="00EC03D7" w:rsidRDefault="005B5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ab/>
        <w:t>Ustavno povjerenstv</w:t>
      </w:r>
      <w:r>
        <w:rPr>
          <w:rFonts w:ascii="Times New Roman" w:eastAsia="Times New Roman" w:hAnsi="Times New Roman" w:cs="Times New Roman"/>
          <w:sz w:val="24"/>
        </w:rPr>
        <w:t>o je mišljenja da je Europski sud trebao uz predmet "SEJDIĆ-FINCI“ involvirati i predmet „PILAV“, te suglasno tomu donijeti presudu „Pilav-Sejdić-Finci“.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Presuda Europskog suda za ljudska prava u sebi nosi i bitnu poruku institucijama Države BiH da se u n</w:t>
      </w:r>
      <w:r>
        <w:rPr>
          <w:rFonts w:ascii="Times New Roman" w:eastAsia="Times New Roman" w:hAnsi="Times New Roman" w:cs="Times New Roman"/>
          <w:sz w:val="24"/>
        </w:rPr>
        <w:t xml:space="preserve">jezinoj provedbi ne polazi od dispozicije same PRESUDE, da presuda ne bude puki formalni povod, već da institucije Bosne i Hercegovine poglavito polaze </w:t>
      </w:r>
      <w:r>
        <w:rPr>
          <w:rFonts w:ascii="Times New Roman" w:eastAsia="Times New Roman" w:hAnsi="Times New Roman" w:cs="Times New Roman"/>
          <w:b/>
          <w:sz w:val="24"/>
        </w:rPr>
        <w:t>od svoje ustavne obveze, kao i obveza koje proistječu iz međunarodnih konvencija</w:t>
      </w:r>
      <w:r>
        <w:rPr>
          <w:rFonts w:ascii="Times New Roman" w:eastAsia="Times New Roman" w:hAnsi="Times New Roman" w:cs="Times New Roman"/>
          <w:sz w:val="24"/>
        </w:rPr>
        <w:t xml:space="preserve"> o zaštiti ljudskih prav</w:t>
      </w:r>
      <w:r>
        <w:rPr>
          <w:rFonts w:ascii="Times New Roman" w:eastAsia="Times New Roman" w:hAnsi="Times New Roman" w:cs="Times New Roman"/>
          <w:sz w:val="24"/>
        </w:rPr>
        <w:t>a i temeljnih građanskih sloboda, što su iznad nacionalnih zakonodavstava, da se u Bosni i Hercegovini ukine svaki vid diskriminacije na bilo kojoj osnovi.</w:t>
      </w: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Zastupnički dom Parlamenta Federacije Bosne i Hercegovine preporučuje Parlamentarnoj skupštini i Vij</w:t>
      </w:r>
      <w:r>
        <w:rPr>
          <w:rFonts w:ascii="Times New Roman" w:eastAsia="Times New Roman" w:hAnsi="Times New Roman" w:cs="Times New Roman"/>
          <w:sz w:val="24"/>
        </w:rPr>
        <w:t>eću ministara Bosne i Hercegovine da promptno djeluju u funkciji dosljedne i potpune provedbe Europskog suda za ljudska prava u Predmetu „Sejdić-Finci“, ali kao i u predmetu „PILAV“ protiv Bosne i Hercegovine.</w:t>
      </w:r>
    </w:p>
    <w:p w:rsidR="00EC03D7" w:rsidRDefault="00EC0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Pr="00CC2879" w:rsidRDefault="005B5472" w:rsidP="00CC2879">
      <w:pPr>
        <w:pStyle w:val="ListParagraph"/>
        <w:numPr>
          <w:ilvl w:val="0"/>
          <w:numId w:val="21"/>
        </w:num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CC2879">
        <w:rPr>
          <w:rFonts w:ascii="Times New Roman" w:eastAsia="Times New Roman" w:hAnsi="Times New Roman" w:cs="Times New Roman"/>
          <w:b/>
          <w:sz w:val="24"/>
        </w:rPr>
        <w:t>Provedba odluka ustavnih sudova Bosne i Herc</w:t>
      </w:r>
      <w:r w:rsidRPr="00CC2879">
        <w:rPr>
          <w:rFonts w:ascii="Times New Roman" w:eastAsia="Times New Roman" w:hAnsi="Times New Roman" w:cs="Times New Roman"/>
          <w:b/>
          <w:sz w:val="24"/>
        </w:rPr>
        <w:t>egovine i Federacije Bosne i Hercegovine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razmatralo je problematiku provođenja odluka ustavnih sudova Bosne i Hercegovine i Federacije BIH i tom je prilikom usvojilo sljedeći: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 A K LJ U Č A K</w:t>
      </w:r>
    </w:p>
    <w:p w:rsidR="00EC03D7" w:rsidRDefault="00EC0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Zastupničkoga do</w:t>
      </w:r>
      <w:r>
        <w:rPr>
          <w:rFonts w:ascii="Times New Roman" w:eastAsia="Times New Roman" w:hAnsi="Times New Roman" w:cs="Times New Roman"/>
          <w:sz w:val="24"/>
        </w:rPr>
        <w:t>ma obnavlja svoj prijedlog upućen Domu dva puta u mandatu 2006-2010. godina, kojim Zastupničkom domu predlaže da Vladu Federacije BiH zaduži za podnošenje cjelovitog izvješća o provedbi odluka Ustavnoga suda Federacije BiH za razdoblje 1996.-2011. g. u koj</w:t>
      </w:r>
      <w:r>
        <w:rPr>
          <w:rFonts w:ascii="Times New Roman" w:eastAsia="Times New Roman" w:hAnsi="Times New Roman" w:cs="Times New Roman"/>
          <w:sz w:val="24"/>
        </w:rPr>
        <w:t>em bi se navele odluke koje nisu provedene, te koje su sve institucije, unutar Federacije BiH, bile dužne pokrenuti procedure za provedbe odluka Ustavnoga suda Federacije BiH.</w:t>
      </w: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Zastupničkoga doma također predlaže da Dom od Ustavnoga sud</w:t>
      </w:r>
      <w:r>
        <w:rPr>
          <w:rFonts w:ascii="Times New Roman" w:eastAsia="Times New Roman" w:hAnsi="Times New Roman" w:cs="Times New Roman"/>
          <w:sz w:val="24"/>
        </w:rPr>
        <w:t>a Federacije BiH traži isto izvješće, podsjećajući ovu čelnu pravosudnu instituciju u Federaciji i na njenu obvezu da prati provedbe upravo njezinih akata, te da sukladno Ustavu Federacije BiH, i svojim aktima, pravodobno reagira na kršenje Ustava Federaci</w:t>
      </w:r>
      <w:r>
        <w:rPr>
          <w:rFonts w:ascii="Times New Roman" w:eastAsia="Times New Roman" w:hAnsi="Times New Roman" w:cs="Times New Roman"/>
          <w:sz w:val="24"/>
        </w:rPr>
        <w:t>je Bosne i Hercegovine zbog neprovođenja akata Ustavnoga suda i ignoriranja tih akata na svim razinama vlasti u Federaciji BiH...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CC2879" w:rsidP="00CC287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Ostala pitanja</w:t>
      </w:r>
    </w:p>
    <w:p w:rsidR="00EC03D7" w:rsidRDefault="005B5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Razmatranje  provo</w:t>
      </w:r>
      <w:r>
        <w:rPr>
          <w:rFonts w:ascii="Times New Roman" w:eastAsia="Times New Roman" w:hAnsi="Times New Roman" w:cs="Times New Roman"/>
          <w:b/>
        </w:rPr>
        <w:t>đenja zaključka Zastupničkoga doma kojim je zadužio Ustavno povjerenstvo da, kroz suradnju sa skupštinama kantona u FBiH, pripremi prijedlog amandmana na Ustav FBiH kojim bi se definirale zakonodavne procedure na obje razine zakonodavne vlasti kod donošenj</w:t>
      </w:r>
      <w:r>
        <w:rPr>
          <w:rFonts w:ascii="Times New Roman" w:eastAsia="Times New Roman" w:hAnsi="Times New Roman" w:cs="Times New Roman"/>
          <w:b/>
        </w:rPr>
        <w:t>a zakona iz režima podijeljene ustavne mjerodavnosti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03D7" w:rsidRDefault="005B5472">
      <w:pPr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Razmatrajući  provođenje spomenutog zaključka Zastupničkoga doma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Ustavno povjerenstvo  usvojilo je sljedeći</w:t>
      </w:r>
    </w:p>
    <w:p w:rsidR="00EC03D7" w:rsidRDefault="005B5472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Z A K LJ U Č A K</w:t>
      </w:r>
    </w:p>
    <w:p w:rsidR="00EC03D7" w:rsidRDefault="00EC0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Ustavno povjerenstvo konstatira da se kantonalne skupštine, niti jedna </w:t>
      </w:r>
      <w:r>
        <w:rPr>
          <w:rFonts w:ascii="Times New Roman" w:eastAsia="Times New Roman" w:hAnsi="Times New Roman" w:cs="Times New Roman"/>
          <w:sz w:val="24"/>
        </w:rPr>
        <w:t>od njih deset u Federaciji BiH, nisu odazvale pozivu Zastupničkoga doma Parlamenta Federacije BiH koji ih je svojim zaključkom od 30.09.2009.g. po prijedlogu Ustavnoga povjerenstva pozvao da se očituju o modalitetima zakonodavne suradnje u procedurama dono</w:t>
      </w:r>
      <w:r>
        <w:rPr>
          <w:rFonts w:ascii="Times New Roman" w:eastAsia="Times New Roman" w:hAnsi="Times New Roman" w:cs="Times New Roman"/>
          <w:sz w:val="24"/>
        </w:rPr>
        <w:t xml:space="preserve">šenja zakona </w:t>
      </w:r>
      <w:r>
        <w:rPr>
          <w:rFonts w:ascii="Times New Roman" w:eastAsia="Times New Roman" w:hAnsi="Times New Roman" w:cs="Times New Roman"/>
          <w:b/>
          <w:sz w:val="24"/>
        </w:rPr>
        <w:t>iz podijeljene ustavne mjerodavnosti.</w:t>
      </w: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konstatira da se problematika zakonodavnih procedura kod podijeljenih ustavnih mjerodavnosti federalne i kantonalne razine mora rješavati sadržajnom su</w:t>
      </w:r>
      <w:r>
        <w:rPr>
          <w:rFonts w:ascii="Times New Roman" w:eastAsia="Times New Roman" w:hAnsi="Times New Roman" w:cs="Times New Roman"/>
          <w:sz w:val="24"/>
        </w:rPr>
        <w:t xml:space="preserve">radnjom Parlamenta Federacije BiH i kantonalnih skupština </w:t>
      </w:r>
      <w:r>
        <w:rPr>
          <w:rFonts w:ascii="Times New Roman" w:eastAsia="Times New Roman" w:hAnsi="Times New Roman" w:cs="Times New Roman"/>
          <w:b/>
          <w:sz w:val="24"/>
        </w:rPr>
        <w:t>na trajnom utemeljenju</w:t>
      </w:r>
      <w:r>
        <w:rPr>
          <w:rFonts w:ascii="Times New Roman" w:eastAsia="Times New Roman" w:hAnsi="Times New Roman" w:cs="Times New Roman"/>
          <w:sz w:val="24"/>
        </w:rPr>
        <w:t xml:space="preserve"> kako više ni kantoni ni Parlament Federacije BiH ne bi donosili zakone eliminirajući međusobnu suradnju budući da Ustav Federacije Bosne i Hercegovine nalaže dogovoranje ove d</w:t>
      </w:r>
      <w:r>
        <w:rPr>
          <w:rFonts w:ascii="Times New Roman" w:eastAsia="Times New Roman" w:hAnsi="Times New Roman" w:cs="Times New Roman"/>
          <w:sz w:val="24"/>
        </w:rPr>
        <w:t>vije zakonodavne razine u Federaciji Bosne i Hercegovine.</w:t>
      </w: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Ustavno povjerenstvo predlaže Zastupničkom domu da potvrdi svoje ranije zaključke te ih dostavi svim kantonalnim skupštinama, a Vladu Federacije BiH zaduži da pripremi Prijedlog zakona o načinima os</w:t>
      </w:r>
      <w:r>
        <w:rPr>
          <w:rFonts w:ascii="Times New Roman" w:eastAsia="Times New Roman" w:hAnsi="Times New Roman" w:cs="Times New Roman"/>
          <w:sz w:val="24"/>
        </w:rPr>
        <w:t>tvarivanja suradnje Parlamenta Federacije BiH sa skupštinama kantona kod donošenja zakona iz podijeljene ustavne mjerodavnosti.</w:t>
      </w: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Ustavno povjerenstvo predlaže Domu da ovaj zaključak usvoji kao zaključak Zastupničkoga doma Parlamenta Federacije BiH. </w:t>
      </w:r>
    </w:p>
    <w:p w:rsidR="00EC03D7" w:rsidRDefault="00EC0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iz</w:t>
      </w:r>
      <w:r>
        <w:rPr>
          <w:rFonts w:ascii="Times New Roman" w:eastAsia="Times New Roman" w:hAnsi="Times New Roman" w:cs="Times New Roman"/>
          <w:sz w:val="24"/>
        </w:rPr>
        <w:t>vjestitelja Povjerenstva na sjednici Zastupničkoga doma određen je Irfan Ajanović, predsjednik Povjerenstva.</w:t>
      </w:r>
    </w:p>
    <w:p w:rsidR="00EC03D7" w:rsidRDefault="00EC03D7">
      <w:pPr>
        <w:spacing w:after="0" w:line="240" w:lineRule="auto"/>
        <w:ind w:left="4680" w:firstLine="36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left="4680" w:firstLine="36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tabs>
          <w:tab w:val="left" w:pos="4126"/>
          <w:tab w:val="left" w:pos="4222"/>
        </w:tabs>
        <w:spacing w:after="0" w:line="240" w:lineRule="auto"/>
        <w:ind w:left="4126" w:hanging="9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PREDSJEDNIK POVJERENSTVA</w:t>
      </w:r>
    </w:p>
    <w:p w:rsidR="00EC03D7" w:rsidRDefault="00EC03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:rsidR="00EC03D7" w:rsidRDefault="005B547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Irfan Ajanović</w:t>
      </w:r>
    </w:p>
    <w:p w:rsidR="00EC03D7" w:rsidRDefault="00EC03D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C03D7" w:rsidRDefault="00EC03D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</w:p>
    <w:sectPr w:rsidR="00EC03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472" w:rsidRDefault="005B5472" w:rsidP="00CC2879">
      <w:pPr>
        <w:spacing w:after="0" w:line="240" w:lineRule="auto"/>
      </w:pPr>
      <w:r>
        <w:separator/>
      </w:r>
    </w:p>
  </w:endnote>
  <w:endnote w:type="continuationSeparator" w:id="1">
    <w:p w:rsidR="005B5472" w:rsidRDefault="005B5472" w:rsidP="00CC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7282"/>
      <w:docPartObj>
        <w:docPartGallery w:val="Page Numbers (Bottom of Page)"/>
        <w:docPartUnique/>
      </w:docPartObj>
    </w:sdtPr>
    <w:sdtContent>
      <w:p w:rsidR="00CC2879" w:rsidRDefault="00CC2879">
        <w:pPr>
          <w:pStyle w:val="Footer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C2879" w:rsidRDefault="00CC28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472" w:rsidRDefault="005B5472" w:rsidP="00CC2879">
      <w:pPr>
        <w:spacing w:after="0" w:line="240" w:lineRule="auto"/>
      </w:pPr>
      <w:r>
        <w:separator/>
      </w:r>
    </w:p>
  </w:footnote>
  <w:footnote w:type="continuationSeparator" w:id="1">
    <w:p w:rsidR="005B5472" w:rsidRDefault="005B5472" w:rsidP="00CC2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8BB"/>
    <w:multiLevelType w:val="multilevel"/>
    <w:tmpl w:val="C4EACD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62DEB"/>
    <w:multiLevelType w:val="multilevel"/>
    <w:tmpl w:val="8D8A8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93B07"/>
    <w:multiLevelType w:val="multilevel"/>
    <w:tmpl w:val="5E428B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45E38"/>
    <w:multiLevelType w:val="multilevel"/>
    <w:tmpl w:val="AC746E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1B2F74"/>
    <w:multiLevelType w:val="multilevel"/>
    <w:tmpl w:val="897607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96E3F"/>
    <w:multiLevelType w:val="hybridMultilevel"/>
    <w:tmpl w:val="DEE81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31E46"/>
    <w:multiLevelType w:val="multilevel"/>
    <w:tmpl w:val="30D249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825307"/>
    <w:multiLevelType w:val="multilevel"/>
    <w:tmpl w:val="D87C95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AB7216"/>
    <w:multiLevelType w:val="multilevel"/>
    <w:tmpl w:val="E6AC1A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82990"/>
    <w:multiLevelType w:val="multilevel"/>
    <w:tmpl w:val="61C8CA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7E1080"/>
    <w:multiLevelType w:val="multilevel"/>
    <w:tmpl w:val="6D0CF5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1159A9"/>
    <w:multiLevelType w:val="multilevel"/>
    <w:tmpl w:val="C7686B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65441D"/>
    <w:multiLevelType w:val="multilevel"/>
    <w:tmpl w:val="7D6654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51419D"/>
    <w:multiLevelType w:val="hybridMultilevel"/>
    <w:tmpl w:val="C77ED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12B3F"/>
    <w:multiLevelType w:val="multilevel"/>
    <w:tmpl w:val="70E47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0C7EE3"/>
    <w:multiLevelType w:val="multilevel"/>
    <w:tmpl w:val="1BCA62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660D8"/>
    <w:multiLevelType w:val="multilevel"/>
    <w:tmpl w:val="1B38A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5D342F"/>
    <w:multiLevelType w:val="multilevel"/>
    <w:tmpl w:val="6AEE97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31409F"/>
    <w:multiLevelType w:val="multilevel"/>
    <w:tmpl w:val="A4E0D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224AAF"/>
    <w:multiLevelType w:val="multilevel"/>
    <w:tmpl w:val="CB8C73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995F96"/>
    <w:multiLevelType w:val="multilevel"/>
    <w:tmpl w:val="B1B61D2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FD4033"/>
    <w:multiLevelType w:val="multilevel"/>
    <w:tmpl w:val="5B4ABF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0"/>
  </w:num>
  <w:num w:numId="5">
    <w:abstractNumId w:val="4"/>
  </w:num>
  <w:num w:numId="6">
    <w:abstractNumId w:val="19"/>
  </w:num>
  <w:num w:numId="7">
    <w:abstractNumId w:val="17"/>
  </w:num>
  <w:num w:numId="8">
    <w:abstractNumId w:val="3"/>
  </w:num>
  <w:num w:numId="9">
    <w:abstractNumId w:val="12"/>
  </w:num>
  <w:num w:numId="10">
    <w:abstractNumId w:val="16"/>
  </w:num>
  <w:num w:numId="11">
    <w:abstractNumId w:val="7"/>
  </w:num>
  <w:num w:numId="12">
    <w:abstractNumId w:val="2"/>
  </w:num>
  <w:num w:numId="13">
    <w:abstractNumId w:val="21"/>
  </w:num>
  <w:num w:numId="14">
    <w:abstractNumId w:val="14"/>
  </w:num>
  <w:num w:numId="15">
    <w:abstractNumId w:val="6"/>
  </w:num>
  <w:num w:numId="16">
    <w:abstractNumId w:val="9"/>
  </w:num>
  <w:num w:numId="17">
    <w:abstractNumId w:val="11"/>
  </w:num>
  <w:num w:numId="18">
    <w:abstractNumId w:val="18"/>
  </w:num>
  <w:num w:numId="19">
    <w:abstractNumId w:val="0"/>
  </w:num>
  <w:num w:numId="20">
    <w:abstractNumId w:val="20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03D7"/>
    <w:rsid w:val="005B5472"/>
    <w:rsid w:val="00CC2879"/>
    <w:rsid w:val="00EC0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2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2879"/>
  </w:style>
  <w:style w:type="paragraph" w:styleId="Footer">
    <w:name w:val="footer"/>
    <w:basedOn w:val="Normal"/>
    <w:link w:val="FooterChar"/>
    <w:uiPriority w:val="99"/>
    <w:unhideWhenUsed/>
    <w:rsid w:val="00CC2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879"/>
  </w:style>
  <w:style w:type="paragraph" w:styleId="ListParagraph">
    <w:name w:val="List Paragraph"/>
    <w:basedOn w:val="Normal"/>
    <w:uiPriority w:val="34"/>
    <w:qFormat/>
    <w:rsid w:val="00CC28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8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parlament</cp:lastModifiedBy>
  <cp:revision>2</cp:revision>
  <cp:lastPrinted>2011-06-27T07:16:00Z</cp:lastPrinted>
  <dcterms:created xsi:type="dcterms:W3CDTF">2011-06-27T07:07:00Z</dcterms:created>
  <dcterms:modified xsi:type="dcterms:W3CDTF">2011-06-27T07:16:00Z</dcterms:modified>
</cp:coreProperties>
</file>